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844"/>
        <w:gridCol w:w="850"/>
        <w:gridCol w:w="567"/>
        <w:gridCol w:w="1586"/>
        <w:gridCol w:w="3092"/>
        <w:gridCol w:w="1417"/>
      </w:tblGrid>
      <w:tr w:rsidR="00FC6101" w:rsidRPr="00870083" w:rsidTr="006C41D0">
        <w:trPr>
          <w:jc w:val="center"/>
        </w:trPr>
        <w:tc>
          <w:tcPr>
            <w:tcW w:w="3261" w:type="dxa"/>
            <w:gridSpan w:val="3"/>
            <w:shd w:val="clear" w:color="auto" w:fill="auto"/>
          </w:tcPr>
          <w:p w:rsidR="00FC6101" w:rsidRPr="00870083" w:rsidRDefault="00FC6101" w:rsidP="006C41D0">
            <w:pPr>
              <w:pStyle w:val="Heading3"/>
            </w:pPr>
            <w:r w:rsidRPr="00870083">
              <w:rPr>
                <w:sz w:val="26"/>
                <w:szCs w:val="26"/>
              </w:rPr>
              <w:t>ỦY BAN NHÂN DÂN</w:t>
            </w:r>
          </w:p>
        </w:tc>
        <w:tc>
          <w:tcPr>
            <w:tcW w:w="6095" w:type="dxa"/>
            <w:gridSpan w:val="3"/>
            <w:shd w:val="clear" w:color="auto" w:fill="auto"/>
          </w:tcPr>
          <w:p w:rsidR="00FC6101" w:rsidRPr="00870083" w:rsidRDefault="00FC6101" w:rsidP="006C41D0">
            <w:pPr>
              <w:pStyle w:val="Heading3"/>
            </w:pPr>
            <w:r w:rsidRPr="00870083">
              <w:rPr>
                <w:sz w:val="26"/>
                <w:szCs w:val="26"/>
              </w:rPr>
              <w:t>CỘNG HÒA XÃ HỘI CHỦ NGHĨA VIỆT NAM</w:t>
            </w:r>
          </w:p>
        </w:tc>
      </w:tr>
      <w:tr w:rsidR="00FC6101" w:rsidRPr="00870083" w:rsidTr="006C41D0">
        <w:trPr>
          <w:jc w:val="center"/>
        </w:trPr>
        <w:tc>
          <w:tcPr>
            <w:tcW w:w="3261" w:type="dxa"/>
            <w:gridSpan w:val="3"/>
            <w:shd w:val="clear" w:color="auto" w:fill="auto"/>
          </w:tcPr>
          <w:p w:rsidR="00FC6101" w:rsidRPr="00870083" w:rsidRDefault="00FC6101" w:rsidP="006C41D0">
            <w:pPr>
              <w:pStyle w:val="Heading3"/>
            </w:pPr>
            <w:r w:rsidRPr="00870083">
              <w:rPr>
                <w:sz w:val="26"/>
                <w:szCs w:val="26"/>
              </w:rPr>
              <w:t>HUYỆN TÂN HỒNG</w:t>
            </w:r>
          </w:p>
        </w:tc>
        <w:tc>
          <w:tcPr>
            <w:tcW w:w="6095" w:type="dxa"/>
            <w:gridSpan w:val="3"/>
            <w:shd w:val="clear" w:color="auto" w:fill="auto"/>
          </w:tcPr>
          <w:p w:rsidR="00FC6101" w:rsidRPr="00870083" w:rsidRDefault="00FC6101" w:rsidP="006C41D0">
            <w:pPr>
              <w:jc w:val="center"/>
            </w:pPr>
            <w:r w:rsidRPr="00870083">
              <w:rPr>
                <w:b/>
              </w:rPr>
              <w:t>Ðộc lập - Tự do - Hạnh phúc</w:t>
            </w:r>
          </w:p>
        </w:tc>
      </w:tr>
      <w:tr w:rsidR="00FC6101" w:rsidRPr="00870083" w:rsidTr="006C41D0">
        <w:trPr>
          <w:cantSplit/>
          <w:trHeight w:val="23"/>
          <w:jc w:val="center"/>
        </w:trPr>
        <w:tc>
          <w:tcPr>
            <w:tcW w:w="1844" w:type="dxa"/>
            <w:shd w:val="clear" w:color="auto" w:fill="auto"/>
          </w:tcPr>
          <w:p w:rsidR="00FC6101" w:rsidRPr="00870083" w:rsidRDefault="00FC6101" w:rsidP="006C41D0">
            <w:pPr>
              <w:snapToGrid w:val="0"/>
              <w:jc w:val="center"/>
              <w:rPr>
                <w:b/>
                <w:sz w:val="14"/>
                <w:lang w:eastAsia="en-US"/>
              </w:rPr>
            </w:pPr>
            <w:r w:rsidRPr="00870083">
              <w:rPr>
                <w:noProof/>
                <w:lang w:eastAsia="en-US"/>
              </w:rPr>
              <mc:AlternateContent>
                <mc:Choice Requires="wps">
                  <w:drawing>
                    <wp:anchor distT="0" distB="0" distL="114300" distR="114300" simplePos="0" relativeHeight="251660288" behindDoc="0" locked="0" layoutInCell="1" allowOverlap="1" wp14:anchorId="22002924" wp14:editId="7B370A70">
                      <wp:simplePos x="0" y="0"/>
                      <wp:positionH relativeFrom="column">
                        <wp:posOffset>597697</wp:posOffset>
                      </wp:positionH>
                      <wp:positionV relativeFrom="paragraph">
                        <wp:posOffset>18037</wp:posOffset>
                      </wp:positionV>
                      <wp:extent cx="655320" cy="0"/>
                      <wp:effectExtent l="19050" t="19050" r="3048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05pt;margin-top:1.4pt;width:5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" strokeweight=".26mm">
                      <v:stroke joinstyle="miter" endcap="square"/>
                    </v:shape>
                  </w:pict>
                </mc:Fallback>
              </mc:AlternateContent>
            </w:r>
          </w:p>
        </w:tc>
        <w:tc>
          <w:tcPr>
            <w:tcW w:w="850" w:type="dxa"/>
            <w:shd w:val="clear" w:color="auto" w:fill="auto"/>
          </w:tcPr>
          <w:p w:rsidR="00FC6101" w:rsidRPr="00870083" w:rsidRDefault="00FC6101" w:rsidP="006C41D0">
            <w:pPr>
              <w:snapToGrid w:val="0"/>
              <w:jc w:val="center"/>
              <w:rPr>
                <w:b/>
                <w:sz w:val="14"/>
                <w:lang w:eastAsia="en-US"/>
              </w:rPr>
            </w:pPr>
          </w:p>
        </w:tc>
        <w:tc>
          <w:tcPr>
            <w:tcW w:w="567" w:type="dxa"/>
            <w:shd w:val="clear" w:color="auto" w:fill="auto"/>
          </w:tcPr>
          <w:p w:rsidR="00FC6101" w:rsidRPr="00870083" w:rsidRDefault="00FC6101" w:rsidP="006C41D0">
            <w:pPr>
              <w:snapToGrid w:val="0"/>
              <w:jc w:val="center"/>
              <w:rPr>
                <w:b/>
                <w:sz w:val="14"/>
                <w:lang w:eastAsia="en-US"/>
              </w:rPr>
            </w:pPr>
          </w:p>
        </w:tc>
        <w:tc>
          <w:tcPr>
            <w:tcW w:w="1586" w:type="dxa"/>
            <w:shd w:val="clear" w:color="auto" w:fill="auto"/>
          </w:tcPr>
          <w:p w:rsidR="00FC6101" w:rsidRPr="00870083" w:rsidRDefault="00FC6101" w:rsidP="006C41D0">
            <w:pPr>
              <w:snapToGrid w:val="0"/>
              <w:jc w:val="center"/>
              <w:rPr>
                <w:b/>
                <w:sz w:val="14"/>
                <w:lang w:eastAsia="en-US"/>
              </w:rPr>
            </w:pPr>
            <w:r w:rsidRPr="00870083">
              <w:rPr>
                <w:noProof/>
                <w:lang w:eastAsia="en-US"/>
              </w:rPr>
              <mc:AlternateContent>
                <mc:Choice Requires="wps">
                  <w:drawing>
                    <wp:anchor distT="0" distB="0" distL="114300" distR="114300" simplePos="0" relativeHeight="251661312" behindDoc="0" locked="0" layoutInCell="1" allowOverlap="1" wp14:anchorId="719AF8E0" wp14:editId="614A8DC7">
                      <wp:simplePos x="0" y="0"/>
                      <wp:positionH relativeFrom="column">
                        <wp:posOffset>812962</wp:posOffset>
                      </wp:positionH>
                      <wp:positionV relativeFrom="paragraph">
                        <wp:posOffset>18037</wp:posOffset>
                      </wp:positionV>
                      <wp:extent cx="2125980" cy="0"/>
                      <wp:effectExtent l="19050" t="19050" r="26670"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4pt;margin-top:1.4pt;width:16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" strokeweight=".26mm">
                      <v:stroke joinstyle="miter" endcap="square"/>
                    </v:shape>
                  </w:pict>
                </mc:Fallback>
              </mc:AlternateContent>
            </w:r>
          </w:p>
        </w:tc>
        <w:tc>
          <w:tcPr>
            <w:tcW w:w="3092" w:type="dxa"/>
            <w:shd w:val="clear" w:color="auto" w:fill="auto"/>
          </w:tcPr>
          <w:p w:rsidR="00FC6101" w:rsidRPr="00870083" w:rsidRDefault="00FC6101" w:rsidP="006C41D0">
            <w:pPr>
              <w:snapToGrid w:val="0"/>
              <w:jc w:val="center"/>
              <w:rPr>
                <w:b/>
                <w:sz w:val="14"/>
                <w:lang w:eastAsia="en-US"/>
              </w:rPr>
            </w:pPr>
          </w:p>
        </w:tc>
        <w:tc>
          <w:tcPr>
            <w:tcW w:w="1417" w:type="dxa"/>
            <w:shd w:val="clear" w:color="auto" w:fill="auto"/>
          </w:tcPr>
          <w:p w:rsidR="00FC6101" w:rsidRPr="00870083" w:rsidRDefault="00FC6101" w:rsidP="006C41D0">
            <w:pPr>
              <w:snapToGrid w:val="0"/>
              <w:rPr>
                <w:b/>
                <w:sz w:val="20"/>
              </w:rPr>
            </w:pPr>
          </w:p>
        </w:tc>
      </w:tr>
      <w:tr w:rsidR="00FC6101" w:rsidRPr="00870083" w:rsidTr="006C41D0">
        <w:trPr>
          <w:jc w:val="center"/>
        </w:trPr>
        <w:tc>
          <w:tcPr>
            <w:tcW w:w="3261" w:type="dxa"/>
            <w:gridSpan w:val="3"/>
            <w:shd w:val="clear" w:color="auto" w:fill="auto"/>
          </w:tcPr>
          <w:p w:rsidR="00FC6101" w:rsidRPr="00870083" w:rsidRDefault="00FC6101" w:rsidP="006C41D0">
            <w:pPr>
              <w:jc w:val="center"/>
            </w:pPr>
            <w:r w:rsidRPr="00870083">
              <w:rPr>
                <w:sz w:val="26"/>
              </w:rPr>
              <w:t xml:space="preserve">Số:  </w:t>
            </w:r>
            <w:r>
              <w:rPr>
                <w:sz w:val="26"/>
              </w:rPr>
              <w:t xml:space="preserve">      </w:t>
            </w:r>
            <w:r w:rsidRPr="00870083">
              <w:rPr>
                <w:sz w:val="26"/>
              </w:rPr>
              <w:t>/TTr-UBND</w:t>
            </w:r>
          </w:p>
        </w:tc>
        <w:tc>
          <w:tcPr>
            <w:tcW w:w="6095" w:type="dxa"/>
            <w:gridSpan w:val="3"/>
            <w:shd w:val="clear" w:color="auto" w:fill="auto"/>
          </w:tcPr>
          <w:p w:rsidR="00FC6101" w:rsidRPr="00870083" w:rsidRDefault="00FC6101" w:rsidP="006C41D0">
            <w:pPr>
              <w:pStyle w:val="Heading1"/>
              <w:spacing w:before="0" w:after="0"/>
              <w:jc w:val="center"/>
            </w:pPr>
            <w:r w:rsidRPr="00870083">
              <w:rPr>
                <w:rFonts w:ascii="Times New Roman" w:hAnsi="Times New Roman"/>
                <w:b w:val="0"/>
                <w:i/>
                <w:sz w:val="28"/>
                <w:szCs w:val="28"/>
              </w:rPr>
              <w:t xml:space="preserve">Tân Hồng, ngày </w:t>
            </w:r>
            <w:r>
              <w:rPr>
                <w:rFonts w:ascii="Times New Roman" w:hAnsi="Times New Roman"/>
                <w:b w:val="0"/>
                <w:i/>
                <w:sz w:val="28"/>
                <w:szCs w:val="28"/>
              </w:rPr>
              <w:t xml:space="preserve">     </w:t>
            </w:r>
            <w:r w:rsidRPr="00870083">
              <w:rPr>
                <w:rFonts w:ascii="Times New Roman" w:hAnsi="Times New Roman"/>
                <w:b w:val="0"/>
                <w:i/>
                <w:sz w:val="28"/>
                <w:szCs w:val="28"/>
              </w:rPr>
              <w:t xml:space="preserve"> tháng</w:t>
            </w:r>
            <w:r>
              <w:rPr>
                <w:rFonts w:ascii="Times New Roman" w:hAnsi="Times New Roman"/>
                <w:b w:val="0"/>
                <w:i/>
                <w:sz w:val="28"/>
                <w:szCs w:val="28"/>
              </w:rPr>
              <w:t xml:space="preserve">    </w:t>
            </w:r>
            <w:r w:rsidRPr="00870083">
              <w:rPr>
                <w:rFonts w:ascii="Times New Roman" w:hAnsi="Times New Roman"/>
                <w:b w:val="0"/>
                <w:i/>
                <w:sz w:val="28"/>
                <w:szCs w:val="28"/>
              </w:rPr>
              <w:t xml:space="preserve"> năm 2021</w:t>
            </w:r>
          </w:p>
        </w:tc>
      </w:tr>
    </w:tbl>
    <w:p w:rsidR="00FC6101" w:rsidRPr="00870083" w:rsidRDefault="00FC6101" w:rsidP="00FC6101">
      <w:pPr>
        <w:rPr>
          <w:b/>
          <w:sz w:val="4"/>
          <w:szCs w:val="20"/>
        </w:rPr>
      </w:pPr>
    </w:p>
    <w:p w:rsidR="00FC6101" w:rsidRPr="00870083" w:rsidRDefault="00FC6101" w:rsidP="00FC6101">
      <w:pPr>
        <w:rPr>
          <w:b/>
          <w:sz w:val="2"/>
          <w:szCs w:val="20"/>
        </w:rPr>
      </w:pPr>
    </w:p>
    <w:p w:rsidR="00FC6101" w:rsidRPr="00870083" w:rsidRDefault="00FC6101" w:rsidP="00FC6101">
      <w:pPr>
        <w:tabs>
          <w:tab w:val="left" w:pos="1335"/>
        </w:tabs>
        <w:jc w:val="center"/>
        <w:rPr>
          <w:b/>
          <w:sz w:val="18"/>
          <w:szCs w:val="20"/>
        </w:rPr>
      </w:pPr>
    </w:p>
    <w:p w:rsidR="00FC6101" w:rsidRPr="00870083" w:rsidRDefault="00FC6101" w:rsidP="00FC6101">
      <w:pPr>
        <w:tabs>
          <w:tab w:val="left" w:pos="1335"/>
        </w:tabs>
        <w:jc w:val="center"/>
        <w:rPr>
          <w:b/>
        </w:rPr>
      </w:pPr>
      <w:r w:rsidRPr="00870083">
        <w:rPr>
          <w:b/>
        </w:rPr>
        <w:t>TỜ TRÌNH</w:t>
      </w:r>
    </w:p>
    <w:p w:rsidR="00FC6101" w:rsidRPr="00A76F2B" w:rsidRDefault="00FC6101" w:rsidP="00FC6101">
      <w:pPr>
        <w:pStyle w:val="Heading3"/>
        <w:rPr>
          <w:szCs w:val="28"/>
        </w:rPr>
      </w:pPr>
      <w:bookmarkStart w:id="0" w:name="_GoBack"/>
      <w:r w:rsidRPr="00A76F2B">
        <w:rPr>
          <w:szCs w:val="28"/>
        </w:rPr>
        <w:t>Kết quả thu - chi ngân sách 9 tháng đầu năm 2021</w:t>
      </w:r>
      <w:bookmarkEnd w:id="0"/>
      <w:r>
        <w:rPr>
          <w:szCs w:val="28"/>
        </w:rPr>
        <w:t>,</w:t>
      </w:r>
      <w:r w:rsidRPr="00A76F2B">
        <w:rPr>
          <w:szCs w:val="28"/>
        </w:rPr>
        <w:t xml:space="preserve"> ước thực hiện năm 2021</w:t>
      </w:r>
      <w:r>
        <w:rPr>
          <w:szCs w:val="28"/>
        </w:rPr>
        <w:t xml:space="preserve"> và tình hình p</w:t>
      </w:r>
      <w:r w:rsidRPr="00A76F2B">
        <w:rPr>
          <w:szCs w:val="28"/>
        </w:rPr>
        <w:t>hân bổ dự toán thu- chi ngân sách năm 2022</w:t>
      </w:r>
    </w:p>
    <w:p w:rsidR="00FC6101" w:rsidRPr="00BF17AD" w:rsidRDefault="00FC6101" w:rsidP="00FC6101">
      <w:pPr>
        <w:jc w:val="center"/>
      </w:pPr>
      <w:r>
        <w:rPr>
          <w:i/>
        </w:rPr>
        <w:t>(T</w:t>
      </w:r>
      <w:r w:rsidRPr="002E538D">
        <w:rPr>
          <w:i/>
        </w:rPr>
        <w:t xml:space="preserve">ính đến ngày </w:t>
      </w:r>
      <w:r>
        <w:rPr>
          <w:i/>
        </w:rPr>
        <w:t>05/9</w:t>
      </w:r>
      <w:r w:rsidRPr="002E538D">
        <w:rPr>
          <w:i/>
        </w:rPr>
        <w:t>/202</w:t>
      </w:r>
      <w:r>
        <w:rPr>
          <w:i/>
        </w:rPr>
        <w:t>1</w:t>
      </w:r>
      <w:r w:rsidRPr="002E538D">
        <w:rPr>
          <w:i/>
        </w:rPr>
        <w:t>)</w:t>
      </w:r>
    </w:p>
    <w:p w:rsidR="00FC6101" w:rsidRPr="00870083" w:rsidRDefault="00FC6101" w:rsidP="00FC6101">
      <w:pPr>
        <w:tabs>
          <w:tab w:val="left" w:pos="1335"/>
        </w:tabs>
        <w:jc w:val="center"/>
        <w:rPr>
          <w:b/>
          <w:i/>
          <w:lang w:eastAsia="en-US"/>
        </w:rPr>
      </w:pPr>
      <w:r w:rsidRPr="00870083">
        <w:rPr>
          <w:b/>
          <w:noProof/>
          <w:lang w:eastAsia="en-US"/>
        </w:rPr>
        <mc:AlternateContent>
          <mc:Choice Requires="wps">
            <w:drawing>
              <wp:anchor distT="0" distB="0" distL="114300" distR="114300" simplePos="0" relativeHeight="251659264" behindDoc="0" locked="0" layoutInCell="1" allowOverlap="1" wp14:anchorId="10A83DCE" wp14:editId="2157AF7A">
                <wp:simplePos x="0" y="0"/>
                <wp:positionH relativeFrom="column">
                  <wp:posOffset>2519680</wp:posOffset>
                </wp:positionH>
                <wp:positionV relativeFrom="paragraph">
                  <wp:posOffset>46355</wp:posOffset>
                </wp:positionV>
                <wp:extent cx="808355" cy="0"/>
                <wp:effectExtent l="5080"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3.65pt" to="26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" strokeweight=".26mm">
                <v:stroke joinstyle="miter" endcap="square"/>
              </v:line>
            </w:pict>
          </mc:Fallback>
        </mc:AlternateContent>
      </w:r>
    </w:p>
    <w:p w:rsidR="00FC6101" w:rsidRPr="00FB4C88" w:rsidRDefault="00FC6101" w:rsidP="00FC6101">
      <w:pPr>
        <w:tabs>
          <w:tab w:val="left" w:pos="1335"/>
        </w:tabs>
        <w:jc w:val="center"/>
        <w:rPr>
          <w:lang w:eastAsia="en-US"/>
        </w:rPr>
      </w:pPr>
      <w:r w:rsidRPr="00FB4C88">
        <w:rPr>
          <w:lang w:eastAsia="en-US"/>
        </w:rPr>
        <w:t>Kính gửi: Ban Thường vụ Huyện ủy.</w:t>
      </w:r>
    </w:p>
    <w:p w:rsidR="00FC6101" w:rsidRPr="00870083" w:rsidRDefault="00FC6101" w:rsidP="00FC6101">
      <w:pPr>
        <w:tabs>
          <w:tab w:val="left" w:pos="1335"/>
        </w:tabs>
        <w:jc w:val="center"/>
        <w:rPr>
          <w:b/>
          <w:i/>
          <w:sz w:val="14"/>
          <w:lang w:eastAsia="en-US"/>
        </w:rPr>
      </w:pPr>
    </w:p>
    <w:p w:rsidR="00FC6101" w:rsidRPr="00FB4C88" w:rsidRDefault="00FC6101" w:rsidP="00FC6101">
      <w:pPr>
        <w:spacing w:after="120"/>
        <w:ind w:firstLine="567"/>
        <w:jc w:val="both"/>
        <w:rPr>
          <w:b/>
        </w:rPr>
      </w:pPr>
      <w:r w:rsidRPr="00FB4C88">
        <w:t xml:space="preserve">Thực hiện Kế hoạch số 49-KH/HU ngày 04 tháng 8 năm 2021 của Ban Thường vụ Huyện ủy về chuẩn bị </w:t>
      </w:r>
      <w:r w:rsidRPr="00FB4C88">
        <w:rPr>
          <w:color w:val="000000" w:themeColor="text1"/>
        </w:rPr>
        <w:t>nội dung họp Ban Thường vụ Huyện ủy kỳ thứ 13, nhiệm kỳ 2020-2025</w:t>
      </w:r>
      <w:r w:rsidRPr="00FB4C88">
        <w:t xml:space="preserve">; Ủy ban nhân dân Huyện trình Ban </w:t>
      </w:r>
      <w:r>
        <w:t>Thường vụ</w:t>
      </w:r>
      <w:r w:rsidRPr="00FB4C88">
        <w:t xml:space="preserve"> Huyện </w:t>
      </w:r>
      <w:r>
        <w:t xml:space="preserve">ủy </w:t>
      </w:r>
      <w:r w:rsidRPr="00A76F2B">
        <w:t>Kết quả thu - chi ngân sách 9 tháng đầu năm 2021</w:t>
      </w:r>
      <w:r>
        <w:t>,</w:t>
      </w:r>
      <w:r w:rsidRPr="00A76F2B">
        <w:t xml:space="preserve"> ước thực hiện năm 2021</w:t>
      </w:r>
      <w:r>
        <w:t xml:space="preserve"> và tình hình p</w:t>
      </w:r>
      <w:r w:rsidRPr="00A76F2B">
        <w:t>hân bổ dự toán thu- chi ngân sách năm 2022</w:t>
      </w:r>
      <w:r>
        <w:t xml:space="preserve"> </w:t>
      </w:r>
      <w:r w:rsidRPr="00FB4C88">
        <w:t xml:space="preserve">với những nội dung chính như sau: </w:t>
      </w:r>
    </w:p>
    <w:p w:rsidR="00FC6101" w:rsidRPr="00CE365D" w:rsidRDefault="00FC6101" w:rsidP="00FC6101">
      <w:pPr>
        <w:spacing w:after="120"/>
        <w:ind w:firstLine="567"/>
        <w:jc w:val="both"/>
        <w:rPr>
          <w:b/>
        </w:rPr>
      </w:pPr>
      <w:r w:rsidRPr="00CE365D">
        <w:rPr>
          <w:b/>
        </w:rPr>
        <w:t>I. KẾT QUẢ THU - CHI NGÂN SÁCH 9 THÁNG ĐẦU NĂM 2021:</w:t>
      </w:r>
    </w:p>
    <w:p w:rsidR="00FC6101" w:rsidRPr="00CE365D" w:rsidRDefault="00FC6101" w:rsidP="00FC6101">
      <w:pPr>
        <w:spacing w:after="120"/>
        <w:ind w:firstLine="567"/>
        <w:jc w:val="both"/>
      </w:pPr>
      <w:r w:rsidRPr="00CE365D">
        <w:rPr>
          <w:b/>
        </w:rPr>
        <w:t xml:space="preserve">1. Thu ngân sách: </w:t>
      </w:r>
      <w:r w:rsidRPr="00CE365D">
        <w:t xml:space="preserve">Tổng thu </w:t>
      </w:r>
      <w:r w:rsidRPr="00CE365D">
        <w:rPr>
          <w:b/>
        </w:rPr>
        <w:t>678.399</w:t>
      </w:r>
      <w:r w:rsidRPr="00CE365D">
        <w:t xml:space="preserve"> triệu đồng, đạt </w:t>
      </w:r>
      <w:r w:rsidRPr="00CE365D">
        <w:rPr>
          <w:b/>
        </w:rPr>
        <w:t>147%</w:t>
      </w:r>
      <w:r w:rsidRPr="00CE365D">
        <w:t xml:space="preserve"> dự toán. </w:t>
      </w:r>
    </w:p>
    <w:p w:rsidR="00FC6101" w:rsidRPr="00CE365D" w:rsidRDefault="00FC6101" w:rsidP="00FC6101">
      <w:pPr>
        <w:spacing w:after="120"/>
        <w:ind w:firstLine="567"/>
        <w:jc w:val="both"/>
      </w:pPr>
      <w:r w:rsidRPr="00CE365D">
        <w:t>a) Thu ngân sách nhà nước trên địa bàn: 76.876 triệu đồng, đạt 114%, gồm:</w:t>
      </w:r>
    </w:p>
    <w:p w:rsidR="00FC6101" w:rsidRPr="00CE365D" w:rsidRDefault="00FC6101" w:rsidP="00FC6101">
      <w:pPr>
        <w:spacing w:after="120"/>
        <w:ind w:firstLine="567"/>
        <w:jc w:val="both"/>
      </w:pPr>
      <w:r w:rsidRPr="00CE365D">
        <w:t>- Thu hoạt động xuất nhập khẩu 6.002 triệu đồng.</w:t>
      </w:r>
    </w:p>
    <w:p w:rsidR="00FC6101" w:rsidRPr="00CE365D" w:rsidRDefault="00FC6101" w:rsidP="00FC6101">
      <w:pPr>
        <w:spacing w:after="120"/>
        <w:ind w:firstLine="567"/>
        <w:jc w:val="both"/>
      </w:pPr>
      <w:r w:rsidRPr="00CE365D">
        <w:t>- Thu nội địa 70.874 triệu đồng, đạt 105</w:t>
      </w:r>
      <w:r>
        <w:t>%.</w:t>
      </w:r>
    </w:p>
    <w:p w:rsidR="00FC6101" w:rsidRPr="00CE365D" w:rsidRDefault="00FC6101" w:rsidP="00FC6101">
      <w:pPr>
        <w:spacing w:after="120"/>
        <w:ind w:firstLine="567"/>
        <w:jc w:val="both"/>
        <w:rPr>
          <w:i/>
        </w:rPr>
      </w:pPr>
      <w:r w:rsidRPr="00CE365D">
        <w:t xml:space="preserve">b) Thu bổ sung từ ngân sách cấp trên 433.658 triệu đồng, đạt 113% </w:t>
      </w:r>
      <w:r w:rsidRPr="00CE365D">
        <w:rPr>
          <w:i/>
        </w:rPr>
        <w:t>(Gồm số thu từ ngân sách Huyện bổ sung cho ngân sách cấp xã 52.210 triệu đồng).</w:t>
      </w:r>
    </w:p>
    <w:p w:rsidR="00FC6101" w:rsidRPr="00CE365D" w:rsidRDefault="00FC6101" w:rsidP="00FC6101">
      <w:pPr>
        <w:spacing w:after="120"/>
        <w:ind w:firstLine="567"/>
        <w:jc w:val="both"/>
      </w:pPr>
      <w:r w:rsidRPr="00CE365D">
        <w:t>c) Thu chuyển nguồn năm trước sang 165.334 triệu đồng.</w:t>
      </w:r>
    </w:p>
    <w:p w:rsidR="00FC6101" w:rsidRPr="00CE365D" w:rsidRDefault="00FC6101" w:rsidP="00FC6101">
      <w:pPr>
        <w:spacing w:after="120"/>
        <w:ind w:firstLine="567"/>
        <w:jc w:val="both"/>
      </w:pPr>
      <w:r w:rsidRPr="00CE365D">
        <w:t>d) Thu từ ngân sách cấp dưới nộp lên 1.200 triệu đồng.</w:t>
      </w:r>
    </w:p>
    <w:p w:rsidR="00FC6101" w:rsidRPr="00CE365D" w:rsidRDefault="00FC6101" w:rsidP="00FC6101">
      <w:pPr>
        <w:spacing w:after="120"/>
        <w:ind w:firstLine="567"/>
        <w:jc w:val="both"/>
      </w:pPr>
      <w:r w:rsidRPr="00CE365D">
        <w:t>e) Các khoản huy động, đóng góp 1.284 triệu đồng.</w:t>
      </w:r>
    </w:p>
    <w:p w:rsidR="00FC6101" w:rsidRPr="00CE365D" w:rsidRDefault="00FC6101" w:rsidP="00FC6101">
      <w:pPr>
        <w:spacing w:after="120"/>
        <w:ind w:firstLine="567"/>
        <w:jc w:val="both"/>
      </w:pPr>
      <w:r w:rsidRPr="00CE365D">
        <w:t>f) Thu đê bao vụ 3 là 38 triệu đồng, đạt 2%.</w:t>
      </w:r>
    </w:p>
    <w:p w:rsidR="00FC6101" w:rsidRPr="00CE365D" w:rsidRDefault="00FC6101" w:rsidP="00FC6101">
      <w:pPr>
        <w:spacing w:after="120"/>
        <w:ind w:firstLine="567"/>
        <w:jc w:val="both"/>
      </w:pPr>
      <w:r w:rsidRPr="00CE365D">
        <w:rPr>
          <w:b/>
        </w:rPr>
        <w:t xml:space="preserve">2. Chi ngân sách: </w:t>
      </w:r>
      <w:r w:rsidRPr="00CE365D">
        <w:t xml:space="preserve">Tổng chi  </w:t>
      </w:r>
      <w:r w:rsidRPr="00CE365D">
        <w:rPr>
          <w:b/>
        </w:rPr>
        <w:t>324.603</w:t>
      </w:r>
      <w:r w:rsidRPr="00CE365D">
        <w:t xml:space="preserve">  triệu đồng, đạt </w:t>
      </w:r>
      <w:r w:rsidRPr="00CE365D">
        <w:rPr>
          <w:b/>
        </w:rPr>
        <w:t>72%</w:t>
      </w:r>
      <w:r w:rsidRPr="00CE365D">
        <w:t xml:space="preserve"> dự toán, trong đó:</w:t>
      </w:r>
    </w:p>
    <w:p w:rsidR="00FC6101" w:rsidRPr="00CE365D" w:rsidRDefault="00FC6101" w:rsidP="00FC6101">
      <w:pPr>
        <w:spacing w:after="120"/>
        <w:ind w:firstLine="567"/>
        <w:jc w:val="both"/>
      </w:pPr>
      <w:r w:rsidRPr="00CE365D">
        <w:t>a) Ngân sách Huyện chi 268.096 triệu đồng, đạt 71%, bao gồm:</w:t>
      </w:r>
    </w:p>
    <w:p w:rsidR="00FC6101" w:rsidRPr="00CE365D" w:rsidRDefault="00FC6101" w:rsidP="00FC6101">
      <w:pPr>
        <w:spacing w:after="120"/>
        <w:ind w:firstLine="567"/>
        <w:jc w:val="both"/>
      </w:pPr>
      <w:r w:rsidRPr="00CE365D">
        <w:t>- Chi đầu tư phát triển 46.307 triệu đồng, đạt 127%.</w:t>
      </w:r>
    </w:p>
    <w:p w:rsidR="00FC6101" w:rsidRPr="00CE365D" w:rsidRDefault="00FC6101" w:rsidP="00FC6101">
      <w:pPr>
        <w:spacing w:after="120"/>
        <w:ind w:firstLine="567"/>
        <w:jc w:val="both"/>
      </w:pPr>
      <w:r w:rsidRPr="00CE365D">
        <w:t>- Chi thường xuyên 205.860 triệu đồng, đạt 61%.</w:t>
      </w:r>
    </w:p>
    <w:p w:rsidR="00FC6101" w:rsidRPr="00CE365D" w:rsidRDefault="00FC6101" w:rsidP="00FC6101">
      <w:pPr>
        <w:spacing w:after="120"/>
        <w:ind w:firstLine="567"/>
        <w:jc w:val="both"/>
      </w:pPr>
      <w:r w:rsidRPr="00CE365D">
        <w:t>- Chi nộp ngân sách cấp trên: 1.004 triệu đồng</w:t>
      </w:r>
    </w:p>
    <w:p w:rsidR="00FC6101" w:rsidRPr="00CE365D" w:rsidRDefault="00FC6101" w:rsidP="00FC6101">
      <w:pPr>
        <w:spacing w:after="120"/>
        <w:ind w:firstLine="567"/>
        <w:jc w:val="both"/>
      </w:pPr>
      <w:r w:rsidRPr="00CE365D">
        <w:t xml:space="preserve">- Chi tạm ứng 14.924 triệu đồng </w:t>
      </w:r>
    </w:p>
    <w:p w:rsidR="00FC6101" w:rsidRPr="00CE365D" w:rsidRDefault="00FC6101" w:rsidP="00FC6101">
      <w:pPr>
        <w:spacing w:after="120"/>
        <w:ind w:firstLine="567"/>
        <w:jc w:val="both"/>
      </w:pPr>
      <w:r w:rsidRPr="00CE365D">
        <w:t>b) Ngân sách xã, thị trấn chi 56.507 triệu đồng, đạt 80%.</w:t>
      </w:r>
    </w:p>
    <w:p w:rsidR="00FC6101" w:rsidRPr="00CE365D" w:rsidRDefault="00FC6101" w:rsidP="00FC6101">
      <w:pPr>
        <w:spacing w:after="120"/>
        <w:ind w:firstLine="567"/>
        <w:jc w:val="both"/>
        <w:rPr>
          <w:b/>
          <w:bCs/>
        </w:rPr>
      </w:pPr>
      <w:r w:rsidRPr="00CE365D">
        <w:rPr>
          <w:b/>
          <w:bCs/>
        </w:rPr>
        <w:t>3. Tình hình sử dụng các nguồn ngân sách:</w:t>
      </w:r>
    </w:p>
    <w:p w:rsidR="00FC6101" w:rsidRPr="00CE365D" w:rsidRDefault="00FC6101" w:rsidP="00FC6101">
      <w:pPr>
        <w:spacing w:after="120"/>
        <w:ind w:firstLine="567"/>
        <w:jc w:val="both"/>
      </w:pPr>
      <w:r w:rsidRPr="00CE365D">
        <w:rPr>
          <w:i/>
        </w:rPr>
        <w:t>- Nguồn chi khác ngân sách:</w:t>
      </w:r>
      <w:r w:rsidRPr="00CE365D">
        <w:t xml:space="preserve"> Đã sử dụng 1.183 triệu đồng, đạt 23% chủ yếu chi đối ngoại, tổ chức các hoạt động Mừng Đảng, mừng Xuân, tiếp đoàn Y, </w:t>
      </w:r>
      <w:r w:rsidRPr="00CE365D">
        <w:lastRenderedPageBreak/>
        <w:t>BS Hội nhãn khoa mổ mắt cho dân nghèo, hiến máu tình nguyện;  Kinh phí tổ chức Đại hội Hội chữ thập đỏ; kinh phí gia hạn phần mềm kế toán HCSN,...</w:t>
      </w:r>
    </w:p>
    <w:p w:rsidR="00FC6101" w:rsidRPr="00CE365D" w:rsidRDefault="00FC6101" w:rsidP="00FC6101">
      <w:pPr>
        <w:spacing w:after="120"/>
        <w:ind w:firstLine="567"/>
        <w:jc w:val="both"/>
      </w:pPr>
      <w:r w:rsidRPr="00CE365D">
        <w:rPr>
          <w:i/>
        </w:rPr>
        <w:t>- Nguồn dự phòng ngân sách:</w:t>
      </w:r>
      <w:r w:rsidRPr="00CE365D">
        <w:t xml:space="preserve"> Đã sử dụng 5.824 triệu đồng, đạt 99 % chủ yếu chi phòng, chống dịch Covid-19 ở khu cách ly; kinh phí thực hiện Đề án “Tổ chức lực lượng, huấn luyện, hoạt động và bảo đảm chế độ chính sách cho Dân quân tự vệ giai đoạn 2021 - 2025” phân kỳ năm 2021... </w:t>
      </w:r>
    </w:p>
    <w:p w:rsidR="00FC6101" w:rsidRPr="00CE365D" w:rsidRDefault="00FC6101" w:rsidP="00FC6101">
      <w:pPr>
        <w:spacing w:after="120"/>
        <w:ind w:firstLine="567"/>
        <w:jc w:val="center"/>
      </w:pPr>
      <w:r w:rsidRPr="00CE365D">
        <w:t>(</w:t>
      </w:r>
      <w:r w:rsidRPr="00CE365D">
        <w:rPr>
          <w:i/>
        </w:rPr>
        <w:t>Kèm theo biểu chi tiết số 03</w:t>
      </w:r>
      <w:r w:rsidRPr="00CE365D">
        <w:t>)</w:t>
      </w:r>
    </w:p>
    <w:p w:rsidR="00FC6101" w:rsidRPr="00CE365D" w:rsidRDefault="00FC6101" w:rsidP="00FC6101">
      <w:pPr>
        <w:spacing w:after="120"/>
        <w:ind w:firstLine="567"/>
        <w:jc w:val="both"/>
        <w:rPr>
          <w:b/>
        </w:rPr>
      </w:pPr>
      <w:r w:rsidRPr="00CE365D">
        <w:rPr>
          <w:b/>
        </w:rPr>
        <w:t>4. Ước thực hiện thu - chi ngân sách đến cuối năm 2021:</w:t>
      </w:r>
    </w:p>
    <w:p w:rsidR="00FC6101" w:rsidRPr="00CE365D" w:rsidRDefault="00FC6101" w:rsidP="00FC6101">
      <w:pPr>
        <w:spacing w:after="120"/>
        <w:ind w:firstLine="567"/>
        <w:jc w:val="both"/>
      </w:pPr>
      <w:r w:rsidRPr="00CE365D">
        <w:rPr>
          <w:b/>
        </w:rPr>
        <w:t xml:space="preserve">a) Thu ngân sách: </w:t>
      </w:r>
      <w:r w:rsidRPr="00CE365D">
        <w:t xml:space="preserve">Tổng thu </w:t>
      </w:r>
      <w:r w:rsidRPr="00CE365D">
        <w:rPr>
          <w:b/>
        </w:rPr>
        <w:t>802.963</w:t>
      </w:r>
      <w:r w:rsidRPr="00CE365D">
        <w:t xml:space="preserve"> triệu đồng, đạt </w:t>
      </w:r>
      <w:r w:rsidRPr="00CE365D">
        <w:rPr>
          <w:b/>
        </w:rPr>
        <w:t>174%</w:t>
      </w:r>
      <w:r w:rsidRPr="00CE365D">
        <w:t xml:space="preserve"> dự toán.</w:t>
      </w:r>
    </w:p>
    <w:p w:rsidR="00FC6101" w:rsidRPr="00CE365D" w:rsidRDefault="00FC6101" w:rsidP="00FC6101">
      <w:pPr>
        <w:spacing w:after="120"/>
        <w:ind w:firstLine="567"/>
        <w:jc w:val="both"/>
      </w:pPr>
      <w:r w:rsidRPr="00CE365D">
        <w:t>- Thu ngân sách nhà nước trên địa bàn 89.340 triệu đồng, đạt 133% dự toán, gồm: Thu hoạt động xuất nhập khẩu 6.050 triệu đồng; thu nội địa 83.290 triệu đồng, đạt 124%.</w:t>
      </w:r>
    </w:p>
    <w:p w:rsidR="00FC6101" w:rsidRPr="00CE365D" w:rsidRDefault="00FC6101" w:rsidP="00FC6101">
      <w:pPr>
        <w:spacing w:after="120"/>
        <w:ind w:firstLine="567"/>
        <w:jc w:val="both"/>
        <w:rPr>
          <w:i/>
        </w:rPr>
      </w:pPr>
      <w:r w:rsidRPr="00CE365D">
        <w:t xml:space="preserve">- Thu bổ sung từ ngân sách cấp trên 484.448 triệu đồng, đạt 126 </w:t>
      </w:r>
      <w:r w:rsidRPr="00CE365D">
        <w:rPr>
          <w:i/>
        </w:rPr>
        <w:t>(gồm số thu từ ngân sách Huyện bổ sung cho ngân sách cấp xã).</w:t>
      </w:r>
    </w:p>
    <w:p w:rsidR="00FC6101" w:rsidRPr="00CE365D" w:rsidRDefault="00FC6101" w:rsidP="00FC6101">
      <w:pPr>
        <w:spacing w:after="120"/>
        <w:ind w:firstLine="567"/>
        <w:jc w:val="both"/>
      </w:pPr>
      <w:r w:rsidRPr="00CE365D">
        <w:t>- Thu kết dư ngân sách năm trước 57.809 triệu đồng.</w:t>
      </w:r>
    </w:p>
    <w:p w:rsidR="00FC6101" w:rsidRPr="00CE365D" w:rsidRDefault="00FC6101" w:rsidP="00FC6101">
      <w:pPr>
        <w:spacing w:after="120"/>
        <w:ind w:firstLine="567"/>
        <w:jc w:val="both"/>
      </w:pPr>
      <w:r w:rsidRPr="00CE365D">
        <w:t>- Thu chuyển nguồn năm trước sang 165.334 triệu đồng.</w:t>
      </w:r>
    </w:p>
    <w:p w:rsidR="00FC6101" w:rsidRPr="00CE365D" w:rsidRDefault="00FC6101" w:rsidP="00FC6101">
      <w:pPr>
        <w:spacing w:after="120"/>
        <w:ind w:firstLine="567"/>
        <w:jc w:val="both"/>
      </w:pPr>
      <w:r w:rsidRPr="00CE365D">
        <w:t>- Thu từ ngân sách cấp dưới nộp lên: 4.696 triệu đồng</w:t>
      </w:r>
    </w:p>
    <w:p w:rsidR="00FC6101" w:rsidRPr="00CE365D" w:rsidRDefault="00FC6101" w:rsidP="00FC6101">
      <w:pPr>
        <w:spacing w:after="120"/>
        <w:ind w:firstLine="567"/>
        <w:jc w:val="both"/>
      </w:pPr>
      <w:r w:rsidRPr="00CE365D">
        <w:t xml:space="preserve">- Các khoản thu huy động, đóng góp 1.296 triệu đồng. </w:t>
      </w:r>
    </w:p>
    <w:p w:rsidR="00FC6101" w:rsidRPr="00CE365D" w:rsidRDefault="00FC6101" w:rsidP="00FC6101">
      <w:pPr>
        <w:spacing w:after="120"/>
        <w:ind w:firstLine="567"/>
        <w:jc w:val="both"/>
      </w:pPr>
      <w:r w:rsidRPr="00CE365D">
        <w:t>- Thu đê bao vụ 3 là 50 triệu đồng, đạt 3%.</w:t>
      </w:r>
    </w:p>
    <w:p w:rsidR="00FC6101" w:rsidRPr="00CE365D" w:rsidRDefault="00FC6101" w:rsidP="00FC6101">
      <w:pPr>
        <w:spacing w:after="120"/>
        <w:ind w:firstLine="567"/>
        <w:jc w:val="both"/>
      </w:pPr>
      <w:r w:rsidRPr="00CE365D">
        <w:rPr>
          <w:b/>
        </w:rPr>
        <w:t xml:space="preserve">b) Chi ngân sách: </w:t>
      </w:r>
      <w:r w:rsidRPr="00CE365D">
        <w:t xml:space="preserve">Tổng chi </w:t>
      </w:r>
      <w:r w:rsidRPr="00CE365D">
        <w:rPr>
          <w:b/>
        </w:rPr>
        <w:t>512.580</w:t>
      </w:r>
      <w:r w:rsidRPr="00CE365D">
        <w:t xml:space="preserve"> triệu đồng, đạt </w:t>
      </w:r>
      <w:r w:rsidRPr="00CE365D">
        <w:rPr>
          <w:b/>
        </w:rPr>
        <w:t>114%</w:t>
      </w:r>
      <w:r w:rsidRPr="00CE365D">
        <w:t xml:space="preserve"> dự toán</w:t>
      </w:r>
      <w:r>
        <w:t>.</w:t>
      </w:r>
    </w:p>
    <w:p w:rsidR="00FC6101" w:rsidRPr="00CE365D" w:rsidRDefault="00FC6101" w:rsidP="00FC6101">
      <w:pPr>
        <w:spacing w:after="120"/>
        <w:ind w:firstLine="567"/>
        <w:jc w:val="both"/>
        <w:rPr>
          <w:b/>
        </w:rPr>
      </w:pPr>
      <w:r w:rsidRPr="00CE365D">
        <w:rPr>
          <w:b/>
        </w:rPr>
        <w:t>5. Đánh giá chung:</w:t>
      </w:r>
    </w:p>
    <w:p w:rsidR="00FC6101" w:rsidRPr="00CE365D" w:rsidRDefault="00FC6101" w:rsidP="00FC6101">
      <w:pPr>
        <w:spacing w:after="120"/>
        <w:ind w:firstLine="567"/>
        <w:jc w:val="both"/>
        <w:rPr>
          <w:bCs/>
        </w:rPr>
      </w:pPr>
      <w:r w:rsidRPr="00CE365D">
        <w:rPr>
          <w:b/>
          <w:bCs/>
        </w:rPr>
        <w:t xml:space="preserve">a) Thu ngân sách: </w:t>
      </w:r>
      <w:r w:rsidRPr="00CE365D">
        <w:rPr>
          <w:bCs/>
        </w:rPr>
        <w:t xml:space="preserve">Thu ngân sách </w:t>
      </w:r>
      <w:r w:rsidRPr="00CE365D">
        <w:t xml:space="preserve">trên địa bàn đạt 114%, trong đó ngân sách Huyện, Xã hưởng đạt 110%, một số nguồn thu đạt vượt dự toán gồm: Thu thuế giá trị gia tăng </w:t>
      </w:r>
      <w:r w:rsidRPr="00CE365D">
        <w:rPr>
          <w:i/>
        </w:rPr>
        <w:t>(192%)</w:t>
      </w:r>
      <w:r w:rsidRPr="00CE365D">
        <w:t xml:space="preserve">, thuế  thu nhập doanh nghiệp </w:t>
      </w:r>
      <w:r w:rsidRPr="00CE365D">
        <w:rPr>
          <w:i/>
        </w:rPr>
        <w:t xml:space="preserve">(397%), </w:t>
      </w:r>
      <w:r w:rsidRPr="00CE365D">
        <w:t>thuế sử dụng đất phi nông nghiệp</w:t>
      </w:r>
      <w:r w:rsidRPr="00CE365D">
        <w:rPr>
          <w:i/>
        </w:rPr>
        <w:t xml:space="preserve"> (210%)</w:t>
      </w:r>
      <w:r w:rsidRPr="00CE365D">
        <w:t xml:space="preserve">. Tuy nhiên, có một số nguồn thu đạt thấp như: </w:t>
      </w:r>
      <w:r w:rsidRPr="00CE365D">
        <w:rPr>
          <w:bCs/>
        </w:rPr>
        <w:t xml:space="preserve">thu đê bao vụ 3 </w:t>
      </w:r>
      <w:r w:rsidRPr="00CE365D">
        <w:rPr>
          <w:bCs/>
          <w:i/>
        </w:rPr>
        <w:t>(2%) (các nguồn này chiếm tỷ lệ rất nhỏ so với tổng thu ngân sách trên địa bàn)</w:t>
      </w:r>
      <w:r w:rsidRPr="00CE365D">
        <w:rPr>
          <w:bCs/>
        </w:rPr>
        <w:t xml:space="preserve">, thu nợ nền nhà Chương trình 105 </w:t>
      </w:r>
      <w:r w:rsidRPr="00CE365D">
        <w:rPr>
          <w:bCs/>
          <w:i/>
        </w:rPr>
        <w:t>(60%)</w:t>
      </w:r>
      <w:r w:rsidRPr="00CE365D">
        <w:rPr>
          <w:bCs/>
        </w:rPr>
        <w:t xml:space="preserve">. Nguyên nhân các nguồn thu đạt thấp là do: tình hình dịch bệnh Covid-19 làm ảnh hưởng đến hoạt động sản xuất, kinh doanh và đời sống của Nhân dân, cụ thể số thu từng xã đạt:  Thị trấn Sa rài đạt 83 %, xã Bình Phú đạt 39%, xã Tân Hộ Cơ đạt54%, xã Thông Bình đạt 66 %, xã Tân Thành A đạt  55%, xã Tân Thành B đạt 81 %, xã Tân Phước đạt   41%, xã An Phước đạt 106 % và xã Tân Công Chí đạt  73%. </w:t>
      </w:r>
    </w:p>
    <w:p w:rsidR="00FC6101" w:rsidRPr="00CE365D" w:rsidRDefault="00FC6101" w:rsidP="00FC6101">
      <w:pPr>
        <w:pStyle w:val="BodyTextIndent2"/>
        <w:spacing w:after="120"/>
        <w:ind w:firstLine="567"/>
        <w:rPr>
          <w:bCs/>
          <w:szCs w:val="28"/>
        </w:rPr>
      </w:pPr>
      <w:r w:rsidRPr="00CE365D">
        <w:rPr>
          <w:b/>
          <w:bCs/>
          <w:szCs w:val="28"/>
        </w:rPr>
        <w:t xml:space="preserve">b) </w:t>
      </w:r>
      <w:r w:rsidRPr="00CE365D">
        <w:rPr>
          <w:b/>
          <w:szCs w:val="28"/>
        </w:rPr>
        <w:t>Chi</w:t>
      </w:r>
      <w:r w:rsidRPr="00CE365D">
        <w:rPr>
          <w:bCs/>
          <w:szCs w:val="28"/>
        </w:rPr>
        <w:t xml:space="preserve"> </w:t>
      </w:r>
      <w:r w:rsidRPr="00CE365D">
        <w:rPr>
          <w:b/>
          <w:bCs/>
          <w:szCs w:val="28"/>
        </w:rPr>
        <w:t>ngân sách:</w:t>
      </w:r>
      <w:r w:rsidRPr="00CE365D">
        <w:rPr>
          <w:bCs/>
          <w:szCs w:val="28"/>
        </w:rPr>
        <w:t xml:space="preserve"> Tổng chi ngân sách đạt 72% so dự toán giao, đạt tỷ lệ bình quân dự toán giao.</w:t>
      </w:r>
      <w:r w:rsidRPr="00CE365D">
        <w:rPr>
          <w:bCs/>
          <w:color w:val="0D0D0D"/>
          <w:szCs w:val="28"/>
        </w:rPr>
        <w:t xml:space="preserve"> </w:t>
      </w:r>
      <w:r w:rsidRPr="00CE365D">
        <w:rPr>
          <w:bCs/>
          <w:szCs w:val="28"/>
        </w:rPr>
        <w:t xml:space="preserve">Chi đầu tư phát triển đạt tỷ lệ cao là do số tạm ứng khối lượng năm trước chuyển sang. </w:t>
      </w:r>
      <w:r w:rsidRPr="00CE365D">
        <w:rPr>
          <w:bCs/>
          <w:color w:val="0D0D0D"/>
          <w:szCs w:val="28"/>
        </w:rPr>
        <w:t xml:space="preserve">Việc điều hành ngân sách từng bước đi vào nề nếp ổn định; sử dụng các nguồn ngân sách đúng mục đích, có hiệu quả. </w:t>
      </w:r>
    </w:p>
    <w:p w:rsidR="00FC6101" w:rsidRPr="00CE365D" w:rsidRDefault="00FC6101" w:rsidP="00FC6101">
      <w:pPr>
        <w:spacing w:after="120"/>
        <w:ind w:firstLine="567"/>
        <w:jc w:val="both"/>
        <w:rPr>
          <w:b/>
        </w:rPr>
      </w:pPr>
      <w:r w:rsidRPr="00CE365D">
        <w:rPr>
          <w:b/>
        </w:rPr>
        <w:t>6. Nhiệm vụ, giải pháp các tháng còn lại của năm 2021:</w:t>
      </w:r>
    </w:p>
    <w:p w:rsidR="00FC6101" w:rsidRPr="00CE365D" w:rsidRDefault="00FC6101" w:rsidP="00FC6101">
      <w:pPr>
        <w:spacing w:after="120"/>
        <w:ind w:firstLine="567"/>
        <w:jc w:val="both"/>
        <w:rPr>
          <w:b/>
        </w:rPr>
      </w:pPr>
      <w:r w:rsidRPr="00CE365D">
        <w:rPr>
          <w:b/>
        </w:rPr>
        <w:t xml:space="preserve">a) Công tác thu ngân sách: </w:t>
      </w:r>
    </w:p>
    <w:p w:rsidR="00FC6101" w:rsidRPr="00CE365D" w:rsidRDefault="00FC6101" w:rsidP="00FC6101">
      <w:pPr>
        <w:spacing w:after="120"/>
        <w:ind w:firstLine="567"/>
        <w:jc w:val="both"/>
      </w:pPr>
      <w:r w:rsidRPr="00CE365D">
        <w:lastRenderedPageBreak/>
        <w:t>- Nguồn thu có tính chất thuế: Các ngành, Ủy ban nhân dân các xã, thị trấn thực hiện tốt nhiệm vụ thu; đẩy mạnh công tác kiểm tra, giám sát về tình hình kê khai, quyết toán thuế thu kịp thời nộp vào ngân sách nhà nước, đồng thời thực hiện tốt công tác chống thất thu và xử lý các nợ đọng về thuế.</w:t>
      </w:r>
    </w:p>
    <w:p w:rsidR="00FC6101" w:rsidRPr="00CE365D" w:rsidRDefault="00FC6101" w:rsidP="00FC6101">
      <w:pPr>
        <w:spacing w:after="120"/>
        <w:ind w:firstLine="567"/>
        <w:jc w:val="both"/>
      </w:pPr>
      <w:r w:rsidRPr="00CE365D">
        <w:t xml:space="preserve">- Nguồn thu tiền sử dụng đất, thuê đất: </w:t>
      </w:r>
    </w:p>
    <w:p w:rsidR="00FC6101" w:rsidRPr="00CE365D" w:rsidRDefault="00FC6101" w:rsidP="00FC6101">
      <w:pPr>
        <w:spacing w:after="120"/>
        <w:ind w:firstLine="567"/>
        <w:jc w:val="both"/>
      </w:pPr>
      <w:r w:rsidRPr="00CE365D">
        <w:t>+ Các đơn vị được giao nhiệm vụ khẩn trương phối hợp tham mưu đề xuất tháo gở những khó khăn, vướng mắc thu tiền nền nhà chương trình 105, Tân Thành - Lò Gạch, Khu tái định cư Dinh Bà… đảm bảo đủ điều kiện pháp lý để lập bộ quản lý thu, đồng thời có chế tài xử lý chậm nộp theo quy định.</w:t>
      </w:r>
    </w:p>
    <w:p w:rsidR="00FC6101" w:rsidRPr="00CE365D" w:rsidRDefault="00FC6101" w:rsidP="00FC6101">
      <w:pPr>
        <w:spacing w:after="120"/>
        <w:ind w:firstLine="567"/>
        <w:jc w:val="both"/>
      </w:pPr>
      <w:r w:rsidRPr="00CE365D">
        <w:t>+ Tăng cường kiểm tra, đôn đốc thực hiện thu các khoản thuê đất, giao đất để thu nộp vào ngân sách.</w:t>
      </w:r>
    </w:p>
    <w:p w:rsidR="00FC6101" w:rsidRPr="00CE365D" w:rsidRDefault="00FC6101" w:rsidP="00FC6101">
      <w:pPr>
        <w:spacing w:after="120"/>
        <w:ind w:firstLine="567"/>
        <w:jc w:val="both"/>
      </w:pPr>
      <w:r w:rsidRPr="00CE365D">
        <w:t>- Đối với nguồn thu khác:</w:t>
      </w:r>
      <w:r w:rsidRPr="00CE365D">
        <w:rPr>
          <w:b/>
        </w:rPr>
        <w:t xml:space="preserve"> </w:t>
      </w:r>
      <w:r w:rsidRPr="00CE365D">
        <w:t>Các đơn vị có liên quan tập trung rà soát các khoản thu khác ngân sách trên địa bàn; tài sản thanh lý, hàng hóa tịch thu… tổ chức đưa ra bán đấu giá đăng nộp tiền vào ngân sách đúng quy định.</w:t>
      </w:r>
    </w:p>
    <w:p w:rsidR="00FC6101" w:rsidRPr="00CE365D" w:rsidRDefault="00FC6101" w:rsidP="00FC6101">
      <w:pPr>
        <w:spacing w:after="120"/>
        <w:ind w:firstLine="567"/>
        <w:jc w:val="both"/>
      </w:pPr>
      <w:r w:rsidRPr="00CE365D">
        <w:rPr>
          <w:b/>
          <w:bCs/>
        </w:rPr>
        <w:t>b) Công tác chi ngân sách:</w:t>
      </w:r>
      <w:r w:rsidRPr="00CE365D">
        <w:t xml:space="preserve"> </w:t>
      </w:r>
    </w:p>
    <w:p w:rsidR="00FC6101" w:rsidRPr="00CE365D" w:rsidRDefault="00FC6101" w:rsidP="00FC6101">
      <w:pPr>
        <w:spacing w:after="120"/>
        <w:ind w:firstLine="567"/>
        <w:jc w:val="both"/>
      </w:pPr>
      <w:r w:rsidRPr="00CE365D">
        <w:t>- Thực hiện chi trả kịp thời, đầy đủ các chính sách an sinh xã hội cho các đối tượng thụ hưởng; đẩy nhanh tiến độ giải ngân nguồn vốn đầu tư phát triển thuộc ngân sách Huyện.</w:t>
      </w:r>
    </w:p>
    <w:p w:rsidR="00FC6101" w:rsidRPr="00CE365D" w:rsidRDefault="00FC6101" w:rsidP="00FC6101">
      <w:pPr>
        <w:spacing w:after="120"/>
        <w:ind w:firstLine="567"/>
        <w:jc w:val="both"/>
        <w:rPr>
          <w:bCs/>
        </w:rPr>
      </w:pPr>
      <w:r w:rsidRPr="00CE365D">
        <w:rPr>
          <w:bCs/>
        </w:rPr>
        <w:t>- Thực hiện tốt các biện pháp thu hồi nợ tạm ứng ngân sách; hạn chế thấp nhất phát sinh các khoản chi ngoài dự toán.</w:t>
      </w:r>
    </w:p>
    <w:p w:rsidR="00FC6101" w:rsidRPr="00CE365D" w:rsidRDefault="00FC6101" w:rsidP="00FC6101">
      <w:pPr>
        <w:spacing w:after="120"/>
        <w:ind w:firstLine="567"/>
        <w:jc w:val="both"/>
      </w:pPr>
      <w:r w:rsidRPr="00CE365D">
        <w:rPr>
          <w:bCs/>
        </w:rPr>
        <w:t xml:space="preserve">- Tăng cường </w:t>
      </w:r>
      <w:r w:rsidRPr="00CE365D">
        <w:t>kiểm tra giám sát, các đơn vị thụ hưởng ngân sách để kịp thời chấn chỉnh những hạn chế, thiếu sót trong quản lý ngân sách.</w:t>
      </w:r>
    </w:p>
    <w:p w:rsidR="00FC6101" w:rsidRPr="00CE365D" w:rsidRDefault="00FC6101" w:rsidP="00FC6101">
      <w:pPr>
        <w:spacing w:after="120"/>
        <w:ind w:firstLine="567"/>
        <w:jc w:val="both"/>
        <w:rPr>
          <w:b/>
        </w:rPr>
      </w:pPr>
      <w:r w:rsidRPr="00CE365D">
        <w:rPr>
          <w:b/>
        </w:rPr>
        <w:t>II. PHÂN BỔ DỰ TOÁN THU-CHI NGÂN SÁCH NĂM 2022:</w:t>
      </w:r>
    </w:p>
    <w:p w:rsidR="00FC6101" w:rsidRPr="00CE365D" w:rsidRDefault="00FC6101" w:rsidP="00FC6101">
      <w:pPr>
        <w:spacing w:after="120"/>
        <w:ind w:firstLine="567"/>
        <w:jc w:val="both"/>
        <w:rPr>
          <w:b/>
        </w:rPr>
      </w:pPr>
      <w:r w:rsidRPr="00CE365D">
        <w:t xml:space="preserve">Hiện nay, Huyện đang xây dựng dự toán ngân sách nhà nước năm 2022 theo Công văn số: 2175/STC-QLNS ngày 18/8/2021 của Sở Tài chính, về việc xây dựng dự toán NSNN năm 2022, kế hoạch tài chính - NSNN 03 năm 2022-2024, phải chờ thảo luận dự toán với Tỉnh theo lịch cụ thể, nên chưa có số liệu chính thức. </w:t>
      </w:r>
    </w:p>
    <w:p w:rsidR="00FC6101" w:rsidRPr="00FB4C88" w:rsidRDefault="00FC6101" w:rsidP="00FC6101">
      <w:pPr>
        <w:spacing w:after="120"/>
        <w:ind w:firstLine="567"/>
        <w:jc w:val="both"/>
      </w:pPr>
      <w:r w:rsidRPr="00FB4C88">
        <w:t>Ủy ban nhân dân Huyện kính trình Ban Thường vụ Huyện ủy xem xét, cho ý kiến./.</w:t>
      </w:r>
    </w:p>
    <w:p w:rsidR="00FC6101" w:rsidRPr="00870083" w:rsidRDefault="00FC6101" w:rsidP="00FC6101">
      <w:pPr>
        <w:spacing w:before="120" w:after="120"/>
        <w:ind w:firstLine="720"/>
        <w:jc w:val="both"/>
        <w:rPr>
          <w:sz w:val="4"/>
        </w:rPr>
      </w:pPr>
    </w:p>
    <w:tbl>
      <w:tblPr>
        <w:tblW w:w="0" w:type="auto"/>
        <w:tblInd w:w="108" w:type="dxa"/>
        <w:tblLayout w:type="fixed"/>
        <w:tblLook w:val="0000" w:firstRow="0" w:lastRow="0" w:firstColumn="0" w:lastColumn="0" w:noHBand="0" w:noVBand="0"/>
      </w:tblPr>
      <w:tblGrid>
        <w:gridCol w:w="4263"/>
        <w:gridCol w:w="4809"/>
      </w:tblGrid>
      <w:tr w:rsidR="00FC6101" w:rsidRPr="00870083" w:rsidTr="006C41D0">
        <w:trPr>
          <w:trHeight w:val="310"/>
        </w:trPr>
        <w:tc>
          <w:tcPr>
            <w:tcW w:w="4263" w:type="dxa"/>
            <w:shd w:val="clear" w:color="auto" w:fill="auto"/>
          </w:tcPr>
          <w:p w:rsidR="00FC6101" w:rsidRPr="00870083" w:rsidRDefault="00FC6101" w:rsidP="006C41D0">
            <w:pPr>
              <w:pStyle w:val="Heading3"/>
              <w:jc w:val="left"/>
            </w:pPr>
            <w:r w:rsidRPr="00870083">
              <w:rPr>
                <w:i/>
                <w:sz w:val="24"/>
              </w:rPr>
              <w:t>Nơi nhận:</w:t>
            </w:r>
            <w:r w:rsidRPr="00870083">
              <w:rPr>
                <w:i/>
                <w:sz w:val="24"/>
              </w:rPr>
              <w:tab/>
            </w:r>
          </w:p>
        </w:tc>
        <w:tc>
          <w:tcPr>
            <w:tcW w:w="4809" w:type="dxa"/>
            <w:shd w:val="clear" w:color="auto" w:fill="auto"/>
          </w:tcPr>
          <w:p w:rsidR="00FC6101" w:rsidRPr="00870083" w:rsidRDefault="00FC6101" w:rsidP="006C41D0">
            <w:pPr>
              <w:pStyle w:val="Heading3"/>
            </w:pPr>
            <w:r w:rsidRPr="00870083">
              <w:rPr>
                <w:szCs w:val="28"/>
              </w:rPr>
              <w:t xml:space="preserve">TM. ỦY BAN NHÂN DÂN </w:t>
            </w:r>
          </w:p>
        </w:tc>
      </w:tr>
      <w:tr w:rsidR="00FC6101" w:rsidRPr="00870083" w:rsidTr="006C41D0">
        <w:trPr>
          <w:trHeight w:val="2169"/>
        </w:trPr>
        <w:tc>
          <w:tcPr>
            <w:tcW w:w="4263" w:type="dxa"/>
            <w:shd w:val="clear" w:color="auto" w:fill="auto"/>
          </w:tcPr>
          <w:p w:rsidR="00FC6101" w:rsidRPr="00870083" w:rsidRDefault="00FC6101" w:rsidP="006C41D0">
            <w:pPr>
              <w:jc w:val="both"/>
            </w:pPr>
            <w:r w:rsidRPr="00870083">
              <w:rPr>
                <w:sz w:val="22"/>
                <w:szCs w:val="22"/>
              </w:rPr>
              <w:t>- Thường trực Huyện ủy;</w:t>
            </w:r>
          </w:p>
          <w:p w:rsidR="00FC6101" w:rsidRPr="00870083" w:rsidRDefault="00FC6101" w:rsidP="006C41D0">
            <w:pPr>
              <w:jc w:val="both"/>
            </w:pPr>
            <w:r w:rsidRPr="00870083">
              <w:rPr>
                <w:sz w:val="22"/>
                <w:szCs w:val="22"/>
              </w:rPr>
              <w:t>- CT, các PCT.UBND Huyện;</w:t>
            </w:r>
          </w:p>
          <w:p w:rsidR="00FC6101" w:rsidRPr="00870083" w:rsidRDefault="00FC6101" w:rsidP="006C41D0">
            <w:pPr>
              <w:jc w:val="both"/>
            </w:pPr>
            <w:r w:rsidRPr="00870083">
              <w:rPr>
                <w:sz w:val="22"/>
                <w:szCs w:val="22"/>
              </w:rPr>
              <w:t>- Các đ/c UV.BTV Huyện ủy;</w:t>
            </w:r>
          </w:p>
          <w:p w:rsidR="00FC6101" w:rsidRPr="00870083" w:rsidRDefault="00FC6101" w:rsidP="006C41D0">
            <w:pPr>
              <w:jc w:val="both"/>
            </w:pPr>
            <w:r w:rsidRPr="00870083">
              <w:rPr>
                <w:sz w:val="22"/>
                <w:szCs w:val="22"/>
              </w:rPr>
              <w:t>- Lãnh đạo Văn phòng;</w:t>
            </w:r>
          </w:p>
          <w:p w:rsidR="00FC6101" w:rsidRPr="00870083" w:rsidRDefault="00FC6101" w:rsidP="006C41D0">
            <w:r w:rsidRPr="00870083">
              <w:rPr>
                <w:sz w:val="22"/>
                <w:szCs w:val="22"/>
              </w:rPr>
              <w:t>- Lưu VT/</w:t>
            </w:r>
            <w:r>
              <w:rPr>
                <w:sz w:val="22"/>
                <w:szCs w:val="22"/>
              </w:rPr>
              <w:t>NC</w:t>
            </w:r>
            <w:r>
              <w:rPr>
                <w:sz w:val="22"/>
                <w:szCs w:val="22"/>
                <w:vertAlign w:val="subscript"/>
              </w:rPr>
              <w:t>Tài</w:t>
            </w:r>
            <w:r w:rsidRPr="00870083">
              <w:rPr>
                <w:sz w:val="22"/>
                <w:szCs w:val="22"/>
              </w:rPr>
              <w:t>.</w:t>
            </w:r>
            <w:r w:rsidRPr="00870083">
              <w:rPr>
                <w:sz w:val="22"/>
                <w:szCs w:val="22"/>
              </w:rPr>
              <w:tab/>
            </w:r>
          </w:p>
        </w:tc>
        <w:tc>
          <w:tcPr>
            <w:tcW w:w="4809" w:type="dxa"/>
            <w:shd w:val="clear" w:color="auto" w:fill="auto"/>
          </w:tcPr>
          <w:p w:rsidR="00FC6101" w:rsidRDefault="00FC6101" w:rsidP="006C41D0">
            <w:pPr>
              <w:jc w:val="center"/>
              <w:rPr>
                <w:b/>
              </w:rPr>
            </w:pPr>
            <w:r>
              <w:rPr>
                <w:b/>
              </w:rPr>
              <w:t xml:space="preserve">KT. </w:t>
            </w:r>
            <w:r w:rsidRPr="00870083">
              <w:rPr>
                <w:b/>
              </w:rPr>
              <w:t>CHỦ TỊCH</w:t>
            </w:r>
          </w:p>
          <w:p w:rsidR="00FC6101" w:rsidRDefault="00FC6101" w:rsidP="006C41D0">
            <w:pPr>
              <w:jc w:val="center"/>
              <w:rPr>
                <w:b/>
              </w:rPr>
            </w:pPr>
            <w:r>
              <w:rPr>
                <w:b/>
              </w:rPr>
              <w:t>PHÓ CHỦ TỊCH</w:t>
            </w:r>
          </w:p>
          <w:p w:rsidR="00FC6101" w:rsidRDefault="00FC6101" w:rsidP="006C41D0">
            <w:pPr>
              <w:jc w:val="center"/>
              <w:rPr>
                <w:b/>
              </w:rPr>
            </w:pPr>
          </w:p>
          <w:p w:rsidR="00FC6101" w:rsidRDefault="00FC6101" w:rsidP="006C41D0">
            <w:pPr>
              <w:jc w:val="center"/>
              <w:rPr>
                <w:b/>
              </w:rPr>
            </w:pPr>
          </w:p>
          <w:p w:rsidR="00FC6101" w:rsidRDefault="00FC6101" w:rsidP="006C41D0">
            <w:pPr>
              <w:jc w:val="center"/>
              <w:rPr>
                <w:b/>
              </w:rPr>
            </w:pPr>
          </w:p>
          <w:p w:rsidR="00FC6101" w:rsidRDefault="00FC6101" w:rsidP="006C41D0">
            <w:pPr>
              <w:jc w:val="center"/>
              <w:rPr>
                <w:b/>
              </w:rPr>
            </w:pPr>
          </w:p>
          <w:p w:rsidR="00FC6101" w:rsidRDefault="00FC6101" w:rsidP="006C41D0">
            <w:pPr>
              <w:jc w:val="center"/>
              <w:rPr>
                <w:b/>
              </w:rPr>
            </w:pPr>
          </w:p>
          <w:p w:rsidR="00FC6101" w:rsidRDefault="00FC6101" w:rsidP="006C41D0">
            <w:pPr>
              <w:jc w:val="center"/>
              <w:rPr>
                <w:b/>
              </w:rPr>
            </w:pPr>
          </w:p>
          <w:p w:rsidR="00FC6101" w:rsidRPr="00380403" w:rsidRDefault="00FC6101" w:rsidP="006C41D0">
            <w:pPr>
              <w:jc w:val="center"/>
            </w:pPr>
            <w:r>
              <w:rPr>
                <w:b/>
              </w:rPr>
              <w:t>Huỳnh Văn Nhã</w:t>
            </w:r>
          </w:p>
        </w:tc>
      </w:tr>
    </w:tbl>
    <w:p w:rsidR="00FC6101" w:rsidRPr="00870083" w:rsidRDefault="00FC6101" w:rsidP="00FC6101">
      <w:pPr>
        <w:rPr>
          <w:sz w:val="2"/>
          <w:szCs w:val="2"/>
        </w:rPr>
      </w:pPr>
    </w:p>
    <w:sectPr w:rsidR="00FC6101" w:rsidRPr="00870083" w:rsidSect="00FC6101">
      <w:headerReference w:type="default" r:id="rId6"/>
      <w:pgSz w:w="11906" w:h="16838" w:code="9"/>
      <w:pgMar w:top="1134" w:right="1134" w:bottom="851" w:left="1701" w:header="709" w:footer="5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68494"/>
      <w:docPartObj>
        <w:docPartGallery w:val="Page Numbers (Top of Page)"/>
        <w:docPartUnique/>
      </w:docPartObj>
    </w:sdtPr>
    <w:sdtEndPr>
      <w:rPr>
        <w:noProof/>
      </w:rPr>
    </w:sdtEndPr>
    <w:sdtContent>
      <w:p w:rsidR="00380403" w:rsidRDefault="00FC61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F8265B7"/>
    <w:multiLevelType w:val="hybridMultilevel"/>
    <w:tmpl w:val="686206AA"/>
    <w:lvl w:ilvl="0" w:tplc="D152EE2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01"/>
    <w:rsid w:val="006801BB"/>
    <w:rsid w:val="00953C87"/>
    <w:rsid w:val="00FC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1"/>
    <w:pPr>
      <w:suppressAutoHyphens/>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FC6101"/>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link w:val="Heading3Char"/>
    <w:qFormat/>
    <w:rsid w:val="00FC6101"/>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101"/>
    <w:rPr>
      <w:rFonts w:ascii="Cambria" w:eastAsia="Times New Roman" w:hAnsi="Cambria" w:cs="Times New Roman"/>
      <w:b/>
      <w:bCs/>
      <w:kern w:val="2"/>
      <w:sz w:val="32"/>
      <w:szCs w:val="32"/>
      <w:lang w:eastAsia="zh-CN"/>
    </w:rPr>
  </w:style>
  <w:style w:type="character" w:customStyle="1" w:styleId="Heading3Char">
    <w:name w:val="Heading 3 Char"/>
    <w:basedOn w:val="DefaultParagraphFont"/>
    <w:link w:val="Heading3"/>
    <w:rsid w:val="00FC6101"/>
    <w:rPr>
      <w:rFonts w:ascii="Times New Roman" w:eastAsia="Times New Roman" w:hAnsi="Times New Roman" w:cs="Times New Roman"/>
      <w:b/>
      <w:sz w:val="28"/>
      <w:szCs w:val="20"/>
      <w:lang w:eastAsia="zh-CN"/>
    </w:rPr>
  </w:style>
  <w:style w:type="character" w:styleId="SubtleEmphasis">
    <w:name w:val="Subtle Emphasis"/>
    <w:qFormat/>
    <w:rsid w:val="00FC6101"/>
    <w:rPr>
      <w:i/>
      <w:iCs/>
      <w:color w:val="808080"/>
    </w:rPr>
  </w:style>
  <w:style w:type="paragraph" w:styleId="Header">
    <w:name w:val="header"/>
    <w:basedOn w:val="Normal"/>
    <w:link w:val="HeaderChar"/>
    <w:uiPriority w:val="99"/>
    <w:rsid w:val="00FC6101"/>
    <w:pPr>
      <w:tabs>
        <w:tab w:val="center" w:pos="4320"/>
        <w:tab w:val="right" w:pos="8640"/>
      </w:tabs>
    </w:pPr>
  </w:style>
  <w:style w:type="character" w:customStyle="1" w:styleId="HeaderChar">
    <w:name w:val="Header Char"/>
    <w:basedOn w:val="DefaultParagraphFont"/>
    <w:link w:val="Header"/>
    <w:uiPriority w:val="99"/>
    <w:rsid w:val="00FC6101"/>
    <w:rPr>
      <w:rFonts w:ascii="Times New Roman" w:eastAsia="Times New Roman" w:hAnsi="Times New Roman" w:cs="Times New Roman"/>
      <w:sz w:val="28"/>
      <w:szCs w:val="28"/>
      <w:lang w:eastAsia="zh-CN"/>
    </w:rPr>
  </w:style>
  <w:style w:type="paragraph" w:customStyle="1" w:styleId="Body1">
    <w:name w:val="Body 1"/>
    <w:rsid w:val="00FC6101"/>
    <w:pPr>
      <w:suppressAutoHyphens/>
      <w:spacing w:after="0" w:line="240" w:lineRule="auto"/>
    </w:pPr>
    <w:rPr>
      <w:rFonts w:ascii="Times New Roman" w:eastAsia="Arial Unicode MS" w:hAnsi="Times New Roman" w:cs="Times New Roman"/>
      <w:color w:val="000000"/>
      <w:sz w:val="28"/>
      <w:szCs w:val="20"/>
      <w:lang w:eastAsia="zh-CN"/>
    </w:rPr>
  </w:style>
  <w:style w:type="character" w:customStyle="1" w:styleId="fontstyle21">
    <w:name w:val="fontstyle21"/>
    <w:basedOn w:val="DefaultParagraphFont"/>
    <w:rsid w:val="00FC6101"/>
    <w:rPr>
      <w:rFonts w:ascii="Times New Roman" w:hAnsi="Times New Roman" w:cs="Times New Roman" w:hint="default"/>
      <w:b w:val="0"/>
      <w:bCs w:val="0"/>
      <w:i/>
      <w:iCs/>
      <w:color w:val="000000"/>
      <w:sz w:val="28"/>
      <w:szCs w:val="28"/>
    </w:rPr>
  </w:style>
  <w:style w:type="character" w:styleId="Strong">
    <w:name w:val="Strong"/>
    <w:uiPriority w:val="22"/>
    <w:qFormat/>
    <w:rsid w:val="00FC6101"/>
    <w:rPr>
      <w:b/>
      <w:bCs/>
    </w:rPr>
  </w:style>
  <w:style w:type="paragraph" w:styleId="BodyTextIndent2">
    <w:name w:val="Body Text Indent 2"/>
    <w:basedOn w:val="Normal"/>
    <w:link w:val="BodyTextIndent2Char"/>
    <w:rsid w:val="00FC6101"/>
    <w:pPr>
      <w:suppressAutoHyphens w:val="0"/>
      <w:ind w:firstLine="720"/>
      <w:jc w:val="both"/>
    </w:pPr>
    <w:rPr>
      <w:szCs w:val="24"/>
      <w:lang w:eastAsia="en-US"/>
    </w:rPr>
  </w:style>
  <w:style w:type="character" w:customStyle="1" w:styleId="BodyTextIndent2Char">
    <w:name w:val="Body Text Indent 2 Char"/>
    <w:basedOn w:val="DefaultParagraphFont"/>
    <w:link w:val="BodyTextIndent2"/>
    <w:rsid w:val="00FC610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1"/>
    <w:pPr>
      <w:suppressAutoHyphens/>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FC6101"/>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link w:val="Heading3Char"/>
    <w:qFormat/>
    <w:rsid w:val="00FC6101"/>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101"/>
    <w:rPr>
      <w:rFonts w:ascii="Cambria" w:eastAsia="Times New Roman" w:hAnsi="Cambria" w:cs="Times New Roman"/>
      <w:b/>
      <w:bCs/>
      <w:kern w:val="2"/>
      <w:sz w:val="32"/>
      <w:szCs w:val="32"/>
      <w:lang w:eastAsia="zh-CN"/>
    </w:rPr>
  </w:style>
  <w:style w:type="character" w:customStyle="1" w:styleId="Heading3Char">
    <w:name w:val="Heading 3 Char"/>
    <w:basedOn w:val="DefaultParagraphFont"/>
    <w:link w:val="Heading3"/>
    <w:rsid w:val="00FC6101"/>
    <w:rPr>
      <w:rFonts w:ascii="Times New Roman" w:eastAsia="Times New Roman" w:hAnsi="Times New Roman" w:cs="Times New Roman"/>
      <w:b/>
      <w:sz w:val="28"/>
      <w:szCs w:val="20"/>
      <w:lang w:eastAsia="zh-CN"/>
    </w:rPr>
  </w:style>
  <w:style w:type="character" w:styleId="SubtleEmphasis">
    <w:name w:val="Subtle Emphasis"/>
    <w:qFormat/>
    <w:rsid w:val="00FC6101"/>
    <w:rPr>
      <w:i/>
      <w:iCs/>
      <w:color w:val="808080"/>
    </w:rPr>
  </w:style>
  <w:style w:type="paragraph" w:styleId="Header">
    <w:name w:val="header"/>
    <w:basedOn w:val="Normal"/>
    <w:link w:val="HeaderChar"/>
    <w:uiPriority w:val="99"/>
    <w:rsid w:val="00FC6101"/>
    <w:pPr>
      <w:tabs>
        <w:tab w:val="center" w:pos="4320"/>
        <w:tab w:val="right" w:pos="8640"/>
      </w:tabs>
    </w:pPr>
  </w:style>
  <w:style w:type="character" w:customStyle="1" w:styleId="HeaderChar">
    <w:name w:val="Header Char"/>
    <w:basedOn w:val="DefaultParagraphFont"/>
    <w:link w:val="Header"/>
    <w:uiPriority w:val="99"/>
    <w:rsid w:val="00FC6101"/>
    <w:rPr>
      <w:rFonts w:ascii="Times New Roman" w:eastAsia="Times New Roman" w:hAnsi="Times New Roman" w:cs="Times New Roman"/>
      <w:sz w:val="28"/>
      <w:szCs w:val="28"/>
      <w:lang w:eastAsia="zh-CN"/>
    </w:rPr>
  </w:style>
  <w:style w:type="paragraph" w:customStyle="1" w:styleId="Body1">
    <w:name w:val="Body 1"/>
    <w:rsid w:val="00FC6101"/>
    <w:pPr>
      <w:suppressAutoHyphens/>
      <w:spacing w:after="0" w:line="240" w:lineRule="auto"/>
    </w:pPr>
    <w:rPr>
      <w:rFonts w:ascii="Times New Roman" w:eastAsia="Arial Unicode MS" w:hAnsi="Times New Roman" w:cs="Times New Roman"/>
      <w:color w:val="000000"/>
      <w:sz w:val="28"/>
      <w:szCs w:val="20"/>
      <w:lang w:eastAsia="zh-CN"/>
    </w:rPr>
  </w:style>
  <w:style w:type="character" w:customStyle="1" w:styleId="fontstyle21">
    <w:name w:val="fontstyle21"/>
    <w:basedOn w:val="DefaultParagraphFont"/>
    <w:rsid w:val="00FC6101"/>
    <w:rPr>
      <w:rFonts w:ascii="Times New Roman" w:hAnsi="Times New Roman" w:cs="Times New Roman" w:hint="default"/>
      <w:b w:val="0"/>
      <w:bCs w:val="0"/>
      <w:i/>
      <w:iCs/>
      <w:color w:val="000000"/>
      <w:sz w:val="28"/>
      <w:szCs w:val="28"/>
    </w:rPr>
  </w:style>
  <w:style w:type="character" w:styleId="Strong">
    <w:name w:val="Strong"/>
    <w:uiPriority w:val="22"/>
    <w:qFormat/>
    <w:rsid w:val="00FC6101"/>
    <w:rPr>
      <w:b/>
      <w:bCs/>
    </w:rPr>
  </w:style>
  <w:style w:type="paragraph" w:styleId="BodyTextIndent2">
    <w:name w:val="Body Text Indent 2"/>
    <w:basedOn w:val="Normal"/>
    <w:link w:val="BodyTextIndent2Char"/>
    <w:rsid w:val="00FC6101"/>
    <w:pPr>
      <w:suppressAutoHyphens w:val="0"/>
      <w:ind w:firstLine="720"/>
      <w:jc w:val="both"/>
    </w:pPr>
    <w:rPr>
      <w:szCs w:val="24"/>
      <w:lang w:eastAsia="en-US"/>
    </w:rPr>
  </w:style>
  <w:style w:type="character" w:customStyle="1" w:styleId="BodyTextIndent2Char">
    <w:name w:val="Body Text Indent 2 Char"/>
    <w:basedOn w:val="DefaultParagraphFont"/>
    <w:link w:val="BodyTextIndent2"/>
    <w:rsid w:val="00FC610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2021-09-12T03:58:00Z</dcterms:created>
  <dcterms:modified xsi:type="dcterms:W3CDTF">2021-09-12T04:03:00Z</dcterms:modified>
</cp:coreProperties>
</file>